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Xcda188a5f28c3f36dbbb3f7acf43d041ee17c09"/>
    <w:p>
      <w:pPr>
        <w:pStyle w:val="Heading1"/>
      </w:pPr>
      <w:r>
        <w:t xml:space="preserve">Modèle d’analyse d’impact relative à la protection des données (AIPD)</w:t>
      </w:r>
    </w:p>
    <w:p>
      <w:pPr>
        <w:pStyle w:val="FirstParagraph"/>
      </w:pPr>
      <w:r>
        <w:rPr>
          <w:i/>
          <w:iCs/>
        </w:rPr>
        <w:t xml:space="preserve">Enregistrement et rédaction assistée des comptes rendus et procès-verbaux de séance avec Duployé — modèle pré-rempli mis à disposition des clients (contrat de sous-traitance, article 10). Version 1.0.</w:t>
      </w:r>
    </w:p>
    <w:p>
      <w:pPr>
        <w:pStyle w:val="BlockText"/>
      </w:pPr>
      <w:r>
        <w:t xml:space="preserve">Ce modèle aide l’organisation, responsable du traitement, à conduire sa propre analyse. Les éléments qui dépendent de l’organisation sont entre crochets. Il ne remplace ni l’avis de votre délégué à la protection des données, ni la méthode de la CNIL (outil PIA), qu’il suit dans ses grandes lignes.</w:t>
      </w:r>
    </w:p>
    <w:bookmarkStart w:id="9" w:name="X4056dc93982a646607d8089592c1a7937d54018"/>
    <w:p>
      <w:pPr>
        <w:pStyle w:val="Heading2"/>
      </w:pPr>
      <w:r>
        <w:t xml:space="preserve">1. Le traitement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Élément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Responsable du traitement</w:t>
            </w:r>
          </w:p>
        </w:tc>
        <w:tc>
          <w:tcPr/>
          <w:p>
            <w:pPr>
              <w:pStyle w:val="Compact"/>
            </w:pPr>
            <w:r>
              <w:t xml:space="preserve">[NOM DE L’ORGANISATION], [ADRESSE]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Délégué à la protection des données</w:t>
            </w:r>
          </w:p>
        </w:tc>
        <w:tc>
          <w:tcPr/>
          <w:p>
            <w:pPr>
              <w:pStyle w:val="Compact"/>
            </w:pPr>
            <w:r>
              <w:t xml:space="preserve">[NOM ET CONTACT]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Sous-traitant</w:t>
            </w:r>
          </w:p>
        </w:tc>
        <w:tc>
          <w:tcPr/>
          <w:p>
            <w:pPr>
              <w:pStyle w:val="Compact"/>
            </w:pPr>
            <w:r>
              <w:t xml:space="preserve">Thibault MARTINET EI — APUS Digital, éditeur du logiciel Duployé (contrat de sous-traitance accepté avec les CGU)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Finalité</w:t>
            </w:r>
          </w:p>
        </w:tc>
        <w:tc>
          <w:tcPr/>
          <w:p>
            <w:pPr>
              <w:pStyle w:val="Compact"/>
            </w:pPr>
            <w:r>
              <w:t xml:space="preserve">Faciliter la rédaction du procès-verbal ou du compte rendu des séances de [INSTANCES CONCERNÉES]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 légale</w:t>
            </w:r>
          </w:p>
        </w:tc>
        <w:tc>
          <w:tcPr/>
          <w:p>
            <w:pPr>
              <w:pStyle w:val="Compact"/>
            </w:pPr>
            <w:r>
              <w:t xml:space="preserve">[Mission d’intérêt public (art. 6.1.e) pour une assemblée locale ; obligation légale (art. 6.1.c) si un texte impose le procès-verbal ; intérêt légitime (art. 6.1.f) pour une réunion non publique]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Personnes concernées</w:t>
            </w:r>
          </w:p>
        </w:tc>
        <w:tc>
          <w:tcPr/>
          <w:p>
            <w:pPr>
              <w:pStyle w:val="Compact"/>
            </w:pPr>
            <w:r>
              <w:t xml:space="preserve">Membres de l’instance, agents, intervenants, public qui prend la parole, personnes citées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Données</w:t>
            </w:r>
          </w:p>
        </w:tc>
        <w:tc>
          <w:tcPr/>
          <w:p>
            <w:pPr>
              <w:pStyle w:val="Compact"/>
            </w:pPr>
            <w:r>
              <w:t xml:space="preserve">Voix et propos ; noms, fonctions, présences, pouvoirs et votes ; contenu des débats et des décisions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Données sensibles possibles</w:t>
            </w:r>
          </w:p>
        </w:tc>
        <w:tc>
          <w:tcPr/>
          <w:p>
            <w:pPr>
              <w:pStyle w:val="Compact"/>
            </w:pPr>
            <w:r>
              <w:t xml:space="preserve">Opinions politiques (élus), appartenance syndicale (représentants du personnel), toute donnée de l’article 9 évoquée en séance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Destinataires</w:t>
            </w:r>
          </w:p>
        </w:tc>
        <w:tc>
          <w:tcPr/>
          <w:p>
            <w:pPr>
              <w:pStyle w:val="Compact"/>
            </w:pPr>
            <w:r>
              <w:t xml:space="preserve">Utilisateurs habilités de l’organisation (rôles titulaire, rédacteur, relecteur, lecteur) ; le sous-traitant et ses sous-traitants ultérieurs, dans la limite de leurs missions</w:t>
            </w:r>
          </w:p>
        </w:tc>
      </w:tr>
    </w:tbl>
    <w:bookmarkEnd w:id="9"/>
    <w:bookmarkStart w:id="10" w:name="X7c711a4776ba1fa47e7e5622e1f81a78cc14419"/>
    <w:p>
      <w:pPr>
        <w:pStyle w:val="Heading2"/>
      </w:pPr>
      <w:r>
        <w:t xml:space="preserve">2. Cycle de vie des données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Étape</w:t>
            </w:r>
          </w:p>
        </w:tc>
        <w:tc>
          <w:tcPr/>
          <w:p>
            <w:pPr>
              <w:pStyle w:val="Compact"/>
            </w:pPr>
            <w:r>
              <w:t xml:space="preserve">Où</w:t>
            </w:r>
          </w:p>
        </w:tc>
        <w:tc>
          <w:tcPr/>
          <w:p>
            <w:pPr>
              <w:pStyle w:val="Compact"/>
            </w:pPr>
            <w:r>
              <w:t xml:space="preserve">Durée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Enregistrement</w:t>
            </w:r>
          </w:p>
        </w:tc>
        <w:tc>
          <w:tcPr/>
          <w:p>
            <w:pPr>
              <w:pStyle w:val="Compact"/>
            </w:pPr>
            <w:r>
              <w:t xml:space="preserve">Appareil qui enregistre (sauvegarde locale par segments) puis serveur, chiffré</w:t>
            </w:r>
          </w:p>
        </w:tc>
        <w:tc>
          <w:tcPr/>
          <w:p>
            <w:pPr>
              <w:pStyle w:val="Compact"/>
            </w:pPr>
            <w:r>
              <w:t xml:space="preserve">Original sur le serveur : 1 mois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Transcription et séparation des voix</w:t>
            </w:r>
          </w:p>
        </w:tc>
        <w:tc>
          <w:tcPr/>
          <w:p>
            <w:pPr>
              <w:pStyle w:val="Compact"/>
            </w:pPr>
            <w:r>
              <w:t xml:space="preserve">Serveurs du sous-traitant en France, sans tiers</w:t>
            </w:r>
          </w:p>
        </w:tc>
        <w:tc>
          <w:tcPr/>
          <w:p>
            <w:pPr>
              <w:pStyle w:val="Compact"/>
            </w:pPr>
            <w:r>
              <w:t xml:space="preserve">Le temps du traitement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Nettoyage, rédaction, relevé des votes</w:t>
            </w:r>
          </w:p>
        </w:tc>
        <w:tc>
          <w:tcPr/>
          <w:p>
            <w:pPr>
              <w:pStyle w:val="Compact"/>
            </w:pPr>
            <w:r>
              <w:t xml:space="preserve">Prestataire de traitement automatisé du texte indiqué dans la liste des sous-traitants</w:t>
            </w:r>
          </w:p>
        </w:tc>
        <w:tc>
          <w:tcPr/>
          <w:p>
            <w:pPr>
              <w:pStyle w:val="Compact"/>
            </w:pPr>
            <w:r>
              <w:t xml:space="preserve">Le temps du traitement ; aucune réutilisation pour l’entraînement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Copie d’écoute (voix compressée)</w:t>
            </w:r>
          </w:p>
        </w:tc>
        <w:tc>
          <w:tcPr/>
          <w:p>
            <w:pPr>
              <w:pStyle w:val="Compact"/>
            </w:pPr>
            <w:r>
              <w:t xml:space="preserve">Serveur, chiffrée</w:t>
            </w:r>
          </w:p>
        </w:tc>
        <w:tc>
          <w:tcPr/>
          <w:p>
            <w:pPr>
              <w:pStyle w:val="Compact"/>
            </w:pPr>
            <w:r>
              <w:t xml:space="preserve">[6 mois au plus, ou durée réduite choisie par l’organisation]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Transcription, document, votes</w:t>
            </w:r>
          </w:p>
        </w:tc>
        <w:tc>
          <w:tcPr/>
          <w:p>
            <w:pPr>
              <w:pStyle w:val="Compact"/>
            </w:pPr>
            <w:r>
              <w:t xml:space="preserve">Serveur</w:t>
            </w:r>
          </w:p>
        </w:tc>
        <w:tc>
          <w:tcPr/>
          <w:p>
            <w:pPr>
              <w:pStyle w:val="Compact"/>
            </w:pPr>
            <w:r>
              <w:t xml:space="preserve">Jusqu’à leur suppression par l’organisation ou la fin du contrat (+ 30 jours pour exporter)</w:t>
            </w:r>
          </w:p>
        </w:tc>
      </w:tr>
    </w:tbl>
    <w:bookmarkEnd w:id="10"/>
    <w:bookmarkStart w:id="11" w:name="X3381096eecc52326b055ef4ff5d434f8ac0da4c"/>
    <w:p>
      <w:pPr>
        <w:pStyle w:val="Heading2"/>
      </w:pPr>
      <w:r>
        <w:t xml:space="preserve">3. Proportionnalité et droits des personnes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Information des personnes</w:t>
      </w:r>
      <w:r>
        <w:t xml:space="preserve"> </w:t>
      </w:r>
      <w:r>
        <w:t xml:space="preserve">: annonce lue en ouverture de séance et notice affichée (modèle fourni par Duployé). [Modalités retenues par l’organisation.]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Minimisation</w:t>
      </w:r>
      <w:r>
        <w:t xml:space="preserve"> </w:t>
      </w:r>
      <w:r>
        <w:t xml:space="preserve">: l’enregistrement ne sert qu’à la rédaction ; l’original est supprimé au bout d’un mois.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Exactitude</w:t>
      </w:r>
      <w:r>
        <w:t xml:space="preserve"> </w:t>
      </w:r>
      <w:r>
        <w:t xml:space="preserve">: le document produit est un projet ; il est relu, corrigé et validé par une personne habilitée avant tout usage. Les éléments incertains sont signalés « à vérifier 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Droits</w:t>
      </w:r>
      <w:r>
        <w:t xml:space="preserve"> </w:t>
      </w:r>
      <w:r>
        <w:t xml:space="preserve">: accès (consultation et export), rectification (correction de la transcription et du document), effacement (suppression d’une séance), opposition (appréciée au regard de la base légale) — exercés auprès de [CONTACT].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Reconnaissance vocale</w:t>
      </w:r>
      <w:r>
        <w:t xml:space="preserve"> </w:t>
      </w:r>
      <w:r>
        <w:t xml:space="preserve">(empreinte) : non utilisée sans le consentement écrit de chaque personne ; [activée / non activée].</w:t>
      </w:r>
    </w:p>
    <w:bookmarkEnd w:id="11"/>
    <w:bookmarkStart w:id="12" w:name="X2ff487a33dbfb019236f8de13f9b7c76e4c36f3"/>
    <w:p>
      <w:pPr>
        <w:pStyle w:val="Heading2"/>
      </w:pPr>
      <w:r>
        <w:t xml:space="preserve">4. Mesures de sécurité</w:t>
      </w:r>
    </w:p>
    <w:p>
      <w:pPr>
        <w:pStyle w:val="FirstParagraph"/>
      </w:pPr>
      <w:r>
        <w:rPr>
          <w:i/>
          <w:iCs/>
        </w:rPr>
        <w:t xml:space="preserve">Cette annexe ne décrit que des mesures effectivement en place à la date de la version.</w:t>
      </w:r>
    </w:p>
    <w:p>
      <w:pPr>
        <w:pStyle w:val="BodyText"/>
      </w:pPr>
      <w:r>
        <w:rPr>
          <w:b/>
          <w:bCs/>
        </w:rPr>
        <w:t xml:space="preserve">Confidentialité et accès</w:t>
      </w:r>
    </w:p>
    <w:p>
      <w:pPr>
        <w:pStyle w:val="Compact"/>
        <w:numPr>
          <w:ilvl w:val="0"/>
          <w:numId w:val="1002"/>
        </w:numPr>
      </w:pPr>
      <w:r>
        <w:t xml:space="preserve">Cloisonnement des données de chaque organisation appliqué par la base de données elle-même (sécurité au niveau des lignes de PostgreSQL, imposée y compris au compte applicatif), vérifié par des tests d’isolation automatisés à chaque livraison.</w:t>
      </w:r>
    </w:p>
    <w:p>
      <w:pPr>
        <w:pStyle w:val="Compact"/>
        <w:numPr>
          <w:ilvl w:val="0"/>
          <w:numId w:val="1002"/>
        </w:numPr>
      </w:pPr>
      <w:r>
        <w:t xml:space="preserve">Mots de passe stockés sous forme de condensat salé (bcrypt) ; sessions révocables, toutes fermées lors d’un changement de mot de passe.</w:t>
      </w:r>
    </w:p>
    <w:p>
      <w:pPr>
        <w:pStyle w:val="Compact"/>
        <w:numPr>
          <w:ilvl w:val="0"/>
          <w:numId w:val="1002"/>
        </w:numPr>
      </w:pPr>
      <w:r>
        <w:t xml:space="preserve">Accès d’administration de l’éditeur soumis à une double authentification par code à usage unique.</w:t>
      </w:r>
    </w:p>
    <w:p>
      <w:pPr>
        <w:pStyle w:val="Compact"/>
        <w:numPr>
          <w:ilvl w:val="0"/>
          <w:numId w:val="1002"/>
        </w:numPr>
      </w:pPr>
      <w:r>
        <w:t xml:space="preserve">Rôles au sein de chaque organisation : titulaire, rédacteur, relecteur, lecteur.</w:t>
      </w:r>
    </w:p>
    <w:p>
      <w:pPr>
        <w:pStyle w:val="Compact"/>
        <w:numPr>
          <w:ilvl w:val="0"/>
          <w:numId w:val="1002"/>
        </w:numPr>
      </w:pPr>
      <w:r>
        <w:t xml:space="preserve">Aucun accès du personnel de l’éditeur au contenu des séances sans autorisation expresse de l’utilisateur, limitée à une séance et à soixante-douze heures, révocable, chaque consultation étant journalisée.</w:t>
      </w:r>
    </w:p>
    <w:p>
      <w:pPr>
        <w:pStyle w:val="FirstParagraph"/>
      </w:pPr>
      <w:r>
        <w:rPr>
          <w:b/>
          <w:bCs/>
        </w:rPr>
        <w:t xml:space="preserve">Chiffrement</w:t>
      </w:r>
    </w:p>
    <w:p>
      <w:pPr>
        <w:pStyle w:val="Compact"/>
        <w:numPr>
          <w:ilvl w:val="0"/>
          <w:numId w:val="1003"/>
        </w:numPr>
      </w:pPr>
      <w:r>
        <w:t xml:space="preserve">Échanges chiffrés en HTTPS, TLS 1.2 et 1.3 uniquement.</w:t>
      </w:r>
    </w:p>
    <w:p>
      <w:pPr>
        <w:pStyle w:val="Compact"/>
        <w:numPr>
          <w:ilvl w:val="0"/>
          <w:numId w:val="1003"/>
        </w:numPr>
      </w:pPr>
      <w:r>
        <w:t xml:space="preserve">Enregistrements audio et copies d’écoute chiffrés au repos (AES-256-GCM), dès la réception de chaque tranche.</w:t>
      </w:r>
    </w:p>
    <w:p>
      <w:pPr>
        <w:pStyle w:val="Compact"/>
        <w:numPr>
          <w:ilvl w:val="0"/>
          <w:numId w:val="1003"/>
        </w:numPr>
      </w:pPr>
      <w:r>
        <w:t xml:space="preserve">Sauvegardes chiffrées avant leur envoi hors site.</w:t>
      </w:r>
    </w:p>
    <w:p>
      <w:pPr>
        <w:pStyle w:val="FirstParagraph"/>
      </w:pPr>
      <w:r>
        <w:rPr>
          <w:b/>
          <w:bCs/>
        </w:rPr>
        <w:t xml:space="preserve">Intégrité et disponibilité</w:t>
      </w:r>
    </w:p>
    <w:p>
      <w:pPr>
        <w:pStyle w:val="Compact"/>
        <w:numPr>
          <w:ilvl w:val="0"/>
          <w:numId w:val="1004"/>
        </w:numPr>
      </w:pPr>
      <w:r>
        <w:t xml:space="preserve">Sauvegarde quotidienne de la base de données, conservée sept jours sur le serveur et environ trente jours hors site, chez un second prestataire situé en France.</w:t>
      </w:r>
    </w:p>
    <w:p>
      <w:pPr>
        <w:pStyle w:val="Compact"/>
        <w:numPr>
          <w:ilvl w:val="0"/>
          <w:numId w:val="1004"/>
        </w:numPr>
      </w:pPr>
      <w:r>
        <w:t xml:space="preserve">Enregistrement conservé sur l’appareil par segments pendant la séance, puis envoyé au serveur par tranches avec reprise en cas de coupure.</w:t>
      </w:r>
    </w:p>
    <w:p>
      <w:pPr>
        <w:pStyle w:val="Compact"/>
        <w:numPr>
          <w:ilvl w:val="0"/>
          <w:numId w:val="1004"/>
        </w:numPr>
      </w:pPr>
      <w:r>
        <w:t xml:space="preserve">Supervision du Service et alertes en cas d’incident.</w:t>
      </w:r>
    </w:p>
    <w:p>
      <w:pPr>
        <w:pStyle w:val="FirstParagraph"/>
      </w:pPr>
      <w:r>
        <w:rPr>
          <w:b/>
          <w:bCs/>
        </w:rPr>
        <w:t xml:space="preserve">Sécurité des systèmes</w:t>
      </w:r>
    </w:p>
    <w:p>
      <w:pPr>
        <w:pStyle w:val="Compact"/>
        <w:numPr>
          <w:ilvl w:val="0"/>
          <w:numId w:val="1005"/>
        </w:numPr>
      </w:pPr>
      <w:r>
        <w:t xml:space="preserve">Serveur durci : pare-feu n’exposant que les services web et l’administration, administration par clé et par réseau privé, services applicatifs n’écoutant que sur l’interface locale, limitation de débit et bannissement automatique des abus.</w:t>
      </w:r>
    </w:p>
    <w:p>
      <w:pPr>
        <w:pStyle w:val="Compact"/>
        <w:numPr>
          <w:ilvl w:val="0"/>
          <w:numId w:val="1005"/>
        </w:numPr>
      </w:pPr>
      <w:r>
        <w:t xml:space="preserve">Mises à jour de sécurité du système appliquées automatiquement.</w:t>
      </w:r>
    </w:p>
    <w:p>
      <w:pPr>
        <w:pStyle w:val="Compact"/>
        <w:numPr>
          <w:ilvl w:val="0"/>
          <w:numId w:val="1005"/>
        </w:numPr>
      </w:pPr>
      <w:r>
        <w:t xml:space="preserve">Journalisation des connexions et des événements de sécurité.</w:t>
      </w:r>
    </w:p>
    <w:p>
      <w:pPr>
        <w:pStyle w:val="FirstParagraph"/>
      </w:pPr>
      <w:r>
        <w:rPr>
          <w:b/>
          <w:bCs/>
        </w:rPr>
        <w:t xml:space="preserve">Organisation</w:t>
      </w:r>
    </w:p>
    <w:p>
      <w:pPr>
        <w:pStyle w:val="Compact"/>
        <w:numPr>
          <w:ilvl w:val="0"/>
          <w:numId w:val="1006"/>
        </w:numPr>
      </w:pPr>
      <w:r>
        <w:t xml:space="preserve">Procédure de notification des violations de données, capable d’informer chaque titulaire d’organisation sous quarante-huit heures.</w:t>
      </w:r>
    </w:p>
    <w:p>
      <w:pPr>
        <w:pStyle w:val="Compact"/>
        <w:numPr>
          <w:ilvl w:val="0"/>
          <w:numId w:val="1006"/>
        </w:numPr>
      </w:pPr>
      <w:r>
        <w:t xml:space="preserve">Suppression automatique des données à l’échéance des durées de conservation.</w:t>
      </w:r>
    </w:p>
    <w:p>
      <w:pPr>
        <w:pStyle w:val="Compact"/>
        <w:numPr>
          <w:ilvl w:val="0"/>
          <w:numId w:val="1006"/>
        </w:numPr>
      </w:pPr>
      <w:r>
        <w:t xml:space="preserve">Engagement de confidentialité de toute personne intervenant sur le Service.</w:t>
      </w:r>
    </w:p>
    <w:bookmarkEnd w:id="12"/>
    <w:bookmarkStart w:id="13" w:name="Xfda7f8b0f5d07edb30bb11ceb434170f06af03e"/>
    <w:p>
      <w:pPr>
        <w:pStyle w:val="Heading2"/>
      </w:pPr>
      <w:r>
        <w:t xml:space="preserve">5. Risques</w:t>
      </w:r>
    </w:p>
    <w:p>
      <w:pPr>
        <w:pStyle w:val="FirstParagraph"/>
      </w:pPr>
      <w:r>
        <w:t xml:space="preserve">Échelle : négligeable, limitée, importante, maximale. À évaluer par l’organisation.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Risque</w:t>
            </w:r>
          </w:p>
        </w:tc>
        <w:tc>
          <w:tcPr/>
          <w:p>
            <w:pPr>
              <w:pStyle w:val="Compact"/>
            </w:pPr>
            <w:r>
              <w:t xml:space="preserve">Sources</w:t>
            </w:r>
          </w:p>
        </w:tc>
        <w:tc>
          <w:tcPr/>
          <w:p>
            <w:pPr>
              <w:pStyle w:val="Compact"/>
            </w:pPr>
            <w:r>
              <w:t xml:space="preserve">Mesures existantes</w:t>
            </w:r>
          </w:p>
        </w:tc>
        <w:tc>
          <w:tcPr/>
          <w:p>
            <w:pPr>
              <w:pStyle w:val="Compact"/>
            </w:pPr>
            <w:r>
              <w:t xml:space="preserve">Gravité</w:t>
            </w:r>
          </w:p>
        </w:tc>
        <w:tc>
          <w:tcPr/>
          <w:p>
            <w:pPr>
              <w:pStyle w:val="Compact"/>
            </w:pPr>
            <w:r>
              <w:t xml:space="preserve">Vraisemblance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Accès illégitime au contenu des séances</w:t>
            </w:r>
          </w:p>
        </w:tc>
        <w:tc>
          <w:tcPr/>
          <w:p>
            <w:pPr>
              <w:pStyle w:val="Compact"/>
            </w:pPr>
            <w:r>
              <w:t xml:space="preserve">Compte compromis, erreur de rôle, accès du prestataire</w:t>
            </w:r>
          </w:p>
        </w:tc>
        <w:tc>
          <w:tcPr/>
          <w:p>
            <w:pPr>
              <w:pStyle w:val="Compact"/>
            </w:pPr>
            <w:r>
              <w:t xml:space="preserve">Mots de passe robustes, rôles, cloisonnement en base, accès du support sur autorisation et journalisé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Modification non désirée du procès-verbal</w:t>
            </w:r>
          </w:p>
        </w:tc>
        <w:tc>
          <w:tcPr/>
          <w:p>
            <w:pPr>
              <w:pStyle w:val="Compact"/>
            </w:pPr>
            <w:r>
              <w:t xml:space="preserve">Erreur de relecture, document généré inexact</w:t>
            </w:r>
          </w:p>
        </w:tc>
        <w:tc>
          <w:tcPr/>
          <w:p>
            <w:pPr>
              <w:pStyle w:val="Compact"/>
            </w:pPr>
            <w:r>
              <w:t xml:space="preserve">Marques « à vérifier », historique des versions, validation par un relecteur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Disparition de l’enregistrement ou du document</w:t>
            </w:r>
          </w:p>
        </w:tc>
        <w:tc>
          <w:tcPr/>
          <w:p>
            <w:pPr>
              <w:pStyle w:val="Compact"/>
            </w:pPr>
            <w:r>
              <w:t xml:space="preserve">Panne, coupure réseau pendant la séance</w:t>
            </w:r>
          </w:p>
        </w:tc>
        <w:tc>
          <w:tcPr/>
          <w:p>
            <w:pPr>
              <w:pStyle w:val="Compact"/>
            </w:pPr>
            <w:r>
              <w:t xml:space="preserve">Sauvegarde locale par segments, envoi reprenable, sauvegardes quotidiennes chiffrées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Réutilisation des propos à d’autres fins</w:t>
            </w:r>
          </w:p>
        </w:tc>
        <w:tc>
          <w:tcPr/>
          <w:p>
            <w:pPr>
              <w:pStyle w:val="Compact"/>
            </w:pPr>
            <w:r>
              <w:t xml:space="preserve">Prestataire, diffusion interne</w:t>
            </w:r>
          </w:p>
        </w:tc>
        <w:tc>
          <w:tcPr/>
          <w:p>
            <w:pPr>
              <w:pStyle w:val="Compact"/>
            </w:pPr>
            <w:r>
              <w:t xml:space="preserve">Engagement de non-réutilisation (CGU 7.3), suppression automatique, exports maîtrisés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</w:tbl>
    <w:bookmarkEnd w:id="13"/>
    <w:bookmarkStart w:id="14" w:name="Xf54d8ef347856e27db5ffd5a820b6aca7b9513e"/>
    <w:p>
      <w:pPr>
        <w:pStyle w:val="Heading2"/>
      </w:pPr>
      <w:r>
        <w:t xml:space="preserve">6. Plan d’action et validation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  <w:tc>
          <w:tcPr/>
          <w:p>
            <w:pPr>
              <w:pStyle w:val="Compact"/>
            </w:pPr>
            <w:r>
              <w:t xml:space="preserve">Échéance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[Ex. : afficher la notice d’information dans la salle]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Avis du délégué à la protection des données : [ ]</w:t>
      </w:r>
    </w:p>
    <w:p>
      <w:pPr>
        <w:pStyle w:val="BodyText"/>
      </w:pPr>
      <w:r>
        <w:t xml:space="preserve">Décision du responsable du traitement : [ ] — date et signature : [ ]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2026-10-06T13:19:41Z</dcterms:created>
  <dcterms:modified xsi:type="dcterms:W3CDTF">2026-10-06T13:19:41Z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