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dba25f6af7acc3f7ea1cf02c96c4a9f534c2027"/>
    <w:p>
      <w:pPr>
        <w:pStyle w:val="Heading1"/>
      </w:pPr>
      <w:r>
        <w:t xml:space="preserve">Procès-verbal d’assemblée d’associés ou d’actionnaires</w:t>
      </w:r>
    </w:p>
    <w:bookmarkStart w:id="9" w:name="assemblée"/>
    <w:p>
      <w:pPr>
        <w:pStyle w:val="Heading2"/>
      </w:pPr>
      <w:r>
        <w:t xml:space="preserve">Assemblée</w:t>
      </w:r>
    </w:p>
    <w:p>
      <w:pPr>
        <w:pStyle w:val="FirstParagraph"/>
      </w:pPr>
      <w:r>
        <w:rPr>
          <w:i/>
          <w:iCs/>
        </w:rPr>
        <w:t xml:space="preserve">Société (dénomination, forme, capital, siège, immatriculation), nature de l’assemblée, date, heure, lieu, présidence, mode de convocation.</w:t>
      </w:r>
    </w:p>
    <w:p>
      <w:pPr>
        <w:pStyle w:val="BodyText"/>
      </w:pPr>
      <w:r>
        <w:t xml:space="preserve">…</w:t>
      </w:r>
    </w:p>
    <w:bookmarkEnd w:id="9"/>
    <w:bookmarkStart w:id="10" w:name="présences-et-quorum"/>
    <w:p>
      <w:pPr>
        <w:pStyle w:val="Heading2"/>
      </w:pPr>
      <w:r>
        <w:t xml:space="preserve">Présences et quorum</w:t>
      </w:r>
    </w:p>
    <w:p>
      <w:pPr>
        <w:pStyle w:val="FirstParagraph"/>
      </w:pPr>
      <w:r>
        <w:rPr>
          <w:i/>
          <w:iCs/>
        </w:rPr>
        <w:t xml:space="preserve">Associés ou actionnaires présents et représentés, nombre de parts ou d’actions et de voix, quorum requis et atteint.</w:t>
      </w:r>
    </w:p>
    <w:p>
      <w:pPr>
        <w:pStyle w:val="BodyText"/>
      </w:pPr>
      <w:r>
        <w:t xml:space="preserve">…</w:t>
      </w:r>
    </w:p>
    <w:bookmarkEnd w:id="10"/>
    <w:bookmarkStart w:id="11" w:name="documents-mis-à-disposition"/>
    <w:p>
      <w:pPr>
        <w:pStyle w:val="Heading2"/>
      </w:pPr>
      <w:r>
        <w:t xml:space="preserve">Documents mis à disposition</w:t>
      </w:r>
    </w:p>
    <w:p>
      <w:pPr>
        <w:pStyle w:val="FirstParagraph"/>
      </w:pPr>
      <w:r>
        <w:rPr>
          <w:i/>
          <w:iCs/>
        </w:rPr>
        <w:t xml:space="preserve">Rapport de gestion, comptes annuels, rapports du commissaire aux comptes le cas échéant, texte des résolutions.</w:t>
      </w:r>
    </w:p>
    <w:p>
      <w:pPr>
        <w:pStyle w:val="BodyText"/>
      </w:pPr>
      <w:r>
        <w:t xml:space="preserve">…</w:t>
      </w:r>
    </w:p>
    <w:bookmarkEnd w:id="11"/>
    <w:bookmarkStart w:id="12" w:name="débats"/>
    <w:p>
      <w:pPr>
        <w:pStyle w:val="Heading2"/>
      </w:pPr>
      <w:r>
        <w:t xml:space="preserve">Débats</w:t>
      </w:r>
    </w:p>
    <w:p>
      <w:pPr>
        <w:pStyle w:val="FirstParagraph"/>
      </w:pPr>
      <w:r>
        <w:rPr>
          <w:i/>
          <w:iCs/>
        </w:rPr>
        <w:t xml:space="preserve">Résumé des débats et des questions posées.</w:t>
      </w:r>
    </w:p>
    <w:p>
      <w:pPr>
        <w:pStyle w:val="BodyText"/>
      </w:pPr>
      <w:r>
        <w:t xml:space="preserve">…</w:t>
      </w:r>
    </w:p>
    <w:bookmarkEnd w:id="12"/>
    <w:bookmarkStart w:id="13" w:name="résolutions"/>
    <w:p>
      <w:pPr>
        <w:pStyle w:val="Heading2"/>
      </w:pPr>
      <w:r>
        <w:t xml:space="preserve">Résolutions</w:t>
      </w:r>
    </w:p>
    <w:p>
      <w:pPr>
        <w:pStyle w:val="FirstParagraph"/>
      </w:pPr>
      <w:r>
        <w:rPr>
          <w:i/>
          <w:iCs/>
        </w:rPr>
        <w:t xml:space="preserve">Pour chaque résolution : objet, majorité requise, voix pour, contre, abstentions, adoptée ou rejetée.</w:t>
      </w:r>
    </w:p>
    <w:p>
      <w:pPr>
        <w:pStyle w:val="BodyText"/>
      </w:pPr>
      <w:r>
        <w:t xml:space="preserve">…</w:t>
      </w:r>
    </w:p>
    <w:bookmarkEnd w:id="13"/>
    <w:bookmarkStart w:id="14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Pouvoirs pour les formalités, heure de clôture, signataires du procès-verbal.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